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bidi/>
      </w:pPr>
      <w:r>
        <w:rPr>
          <w:rFonts w:ascii="Vazirmatn" w:hAnsi="Vazirmatn"/>
          <w:b/>
          <w:color w:val="8B1E2B"/>
          <w:sz w:val="32"/>
        </w:rPr>
        <w:t>پیش‌فاکتور رسمی و برآورد مالی رویداد سفرا</w:t>
      </w:r>
    </w:p>
    <w:p>
      <w:pPr>
        <w:jc w:val="center"/>
        <w:bidi/>
      </w:pPr>
      <w:r>
        <w:rPr>
          <w:rFonts w:ascii="Vazirmatn" w:hAnsi="Vazirmatn"/>
          <w:b/>
          <w:color w:val="D4AF37"/>
          <w:sz w:val="24"/>
        </w:rPr>
        <w:t>مجری و مشاور بازی‌وارسازی: گروه خلاقیت تیله</w:t>
      </w:r>
    </w:p>
    <w:p>
      <w:pPr>
        <w:jc w:val="right"/>
        <w:bidi/>
      </w:pPr>
      <w:r>
        <w:rPr>
          <w:rFonts w:ascii="Vazirmatn" w:hAnsi="Vazirmatn"/>
          <w:color w:val="64748B"/>
          <w:sz w:val="19"/>
        </w:rPr>
        <w:t>شماره سند: TIL-1405/07  |  تاریخ مبنا: مهر ۱۴۰۵  |  دوره اجرایی: ۷ ماه (۷ برنامه)  |  طرف حساب: سازمان سینمایی سوره / شهرداری تهران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720"/>
            <w:shd w:fill="0F172A"/>
          </w:tcPr>
          <w:p>
            <w:pPr>
              <w:jc w:val="center"/>
              <w:bidi/>
            </w:pPr>
            <w:r>
              <w:rPr>
                <w:rFonts w:ascii="Vazirmatn" w:hAnsi="Vazirmatn"/>
                <w:b/>
                <w:color w:val="FFFFFF"/>
                <w:sz w:val="19"/>
              </w:rPr>
              <w:t>ردیف</w:t>
            </w:r>
          </w:p>
        </w:tc>
        <w:tc>
          <w:tcPr>
            <w:tcW w:type="dxa" w:w="4032"/>
            <w:shd w:fill="0F172A"/>
          </w:tcPr>
          <w:p>
            <w:pPr>
              <w:jc w:val="right"/>
              <w:bidi/>
            </w:pPr>
            <w:r>
              <w:rPr>
                <w:rFonts w:ascii="Vazirmatn" w:hAnsi="Vazirmatn"/>
                <w:b/>
                <w:color w:val="FFFFFF"/>
                <w:sz w:val="19"/>
              </w:rPr>
              <w:t>شرح سرفصل خدمات</w:t>
            </w:r>
          </w:p>
        </w:tc>
        <w:tc>
          <w:tcPr>
            <w:tcW w:type="dxa" w:w="1584"/>
            <w:shd w:fill="0F172A"/>
          </w:tcPr>
          <w:p>
            <w:pPr>
              <w:jc w:val="center"/>
              <w:bidi/>
            </w:pPr>
            <w:r>
              <w:rPr>
                <w:rFonts w:ascii="Vazirmatn" w:hAnsi="Vazirmatn"/>
                <w:b/>
                <w:color w:val="FFFFFF"/>
                <w:sz w:val="19"/>
              </w:rPr>
              <w:t>مبنای محاسبه</w:t>
            </w:r>
          </w:p>
        </w:tc>
        <w:tc>
          <w:tcPr>
            <w:tcW w:type="dxa" w:w="1152"/>
            <w:shd w:fill="0F172A"/>
          </w:tcPr>
          <w:p>
            <w:pPr>
              <w:jc w:val="center"/>
              <w:bidi/>
            </w:pPr>
            <w:r>
              <w:rPr>
                <w:rFonts w:ascii="Vazirmatn" w:hAnsi="Vazirmatn"/>
                <w:b/>
                <w:color w:val="FFFFFF"/>
                <w:sz w:val="19"/>
              </w:rPr>
              <w:t>تعداد / دوره</w:t>
            </w:r>
          </w:p>
        </w:tc>
        <w:tc>
          <w:tcPr>
            <w:tcW w:type="dxa" w:w="1872"/>
            <w:shd w:fill="0F172A"/>
          </w:tcPr>
          <w:p>
            <w:pPr>
              <w:jc w:val="right"/>
              <w:bidi/>
            </w:pPr>
            <w:r>
              <w:rPr>
                <w:rFonts w:ascii="Vazirmatn" w:hAnsi="Vazirmatn"/>
                <w:b/>
                <w:color w:val="FFFFFF"/>
                <w:sz w:val="19"/>
              </w:rPr>
              <w:t>مبلغ واحد (تومان)</w:t>
            </w:r>
          </w:p>
        </w:tc>
        <w:tc>
          <w:tcPr>
            <w:tcW w:type="dxa" w:w="2160"/>
            <w:shd w:fill="0F172A"/>
          </w:tcPr>
          <w:p>
            <w:pPr>
              <w:jc w:val="right"/>
              <w:bidi/>
            </w:pPr>
            <w:r>
              <w:rPr>
                <w:rFonts w:ascii="Vazirmatn" w:hAnsi="Vazirmatn"/>
                <w:b/>
                <w:color w:val="FFFFFF"/>
                <w:sz w:val="19"/>
              </w:rPr>
              <w:t>مبلغ کل ۷ رویداد (تومان)</w:t>
            </w:r>
          </w:p>
        </w:tc>
      </w:tr>
      <w:tr>
        <w:tc>
          <w:tcPr>
            <w:tcW w:type="dxa" w:w="720"/>
            <w:shd w:fill="F8FAFC"/>
          </w:tcPr>
          <w:p>
            <w:pPr>
              <w:jc w:val="center"/>
              <w:bidi/>
            </w:pPr>
            <w:r>
              <w:rPr>
                <w:rFonts w:ascii="Vazirmatn" w:hAnsi="Vazirmatn"/>
                <w:sz w:val="19"/>
              </w:rPr>
              <w:t>۱</w:t>
            </w:r>
          </w:p>
        </w:tc>
        <w:tc>
          <w:tcPr>
            <w:tcW w:type="dxa" w:w="4032"/>
            <w:shd w:fill="F8FAFC"/>
          </w:tcPr>
          <w:p>
            <w:pPr>
              <w:jc w:val="right"/>
              <w:bidi/>
            </w:pPr>
            <w:r>
              <w:rPr>
                <w:rFonts w:ascii="Vazirmatn" w:hAnsi="Vazirmatn"/>
                <w:b/>
                <w:sz w:val="19"/>
              </w:rPr>
              <w:t>طراحی و اجرای بازی‌وارسازی (Gamification)</w:t>
            </w:r>
          </w:p>
          <w:p>
            <w:pPr>
              <w:jc w:val="right"/>
              <w:bidi/>
            </w:pPr>
            <w:r>
              <w:rPr>
                <w:rFonts w:ascii="Vazirmatn" w:hAnsi="Vazirmatn"/>
                <w:color w:val="64748B"/>
                <w:sz w:val="17"/>
              </w:rPr>
              <w:t>به عنوان مثال: سناریونویسی تعامل، راهنمایان تشریفاتی (مثلاً مترجم انگلیسی)، و استادکاران تجربه‌های اصیل ایرانی</w:t>
            </w:r>
          </w:p>
        </w:tc>
        <w:tc>
          <w:tcPr>
            <w:tcW w:type="dxa" w:w="1584"/>
            <w:shd w:fill="F8FAFC"/>
          </w:tcPr>
          <w:p>
            <w:pPr>
              <w:jc w:val="center"/>
              <w:bidi/>
            </w:pPr>
            <w:r>
              <w:rPr>
                <w:rFonts w:ascii="Vazirmatn" w:hAnsi="Vazirmatn"/>
                <w:sz w:val="18"/>
              </w:rPr>
              <w:t>به ازای هر رویداد</w:t>
            </w:r>
          </w:p>
        </w:tc>
        <w:tc>
          <w:tcPr>
            <w:tcW w:type="dxa" w:w="1152"/>
            <w:shd w:fill="F8FAFC"/>
          </w:tcPr>
          <w:p>
            <w:pPr>
              <w:jc w:val="center"/>
              <w:bidi/>
            </w:pPr>
            <w:r>
              <w:rPr>
                <w:rFonts w:ascii="Vazirmatn" w:hAnsi="Vazirmatn"/>
                <w:sz w:val="18"/>
              </w:rPr>
              <w:t>۷ برنامه</w:t>
            </w:r>
          </w:p>
        </w:tc>
        <w:tc>
          <w:tcPr>
            <w:tcW w:type="dxa" w:w="1872"/>
            <w:shd w:fill="F8FAFC"/>
          </w:tcPr>
          <w:p>
            <w:pPr>
              <w:jc w:val="center"/>
              <w:bidi/>
            </w:pPr>
            <w:r>
              <w:rPr>
                <w:rFonts w:ascii="Vazirmatn" w:hAnsi="Vazirmatn"/>
                <w:b/>
                <w:sz w:val="19"/>
              </w:rPr>
              <w:t>۲۰۰,۰۰۰,۰۰۰</w:t>
            </w:r>
          </w:p>
        </w:tc>
        <w:tc>
          <w:tcPr>
            <w:tcW w:type="dxa" w:w="2160"/>
            <w:shd w:fill="F8FAFC"/>
          </w:tcPr>
          <w:p>
            <w:pPr>
              <w:jc w:val="center"/>
              <w:bidi/>
            </w:pPr>
            <w:r>
              <w:rPr>
                <w:rFonts w:ascii="Vazirmatn" w:hAnsi="Vazirmatn"/>
                <w:b/>
                <w:color w:val="8B1E2B"/>
                <w:sz w:val="20"/>
              </w:rPr>
              <w:t>۱,۴۰۰,۰۰۰,۰۰۰</w:t>
            </w:r>
          </w:p>
        </w:tc>
      </w:tr>
      <w:tr>
        <w:tc>
          <w:tcPr>
            <w:tcW w:type="dxa" w:w="720"/>
            <w:shd w:fill="FFFFFF"/>
          </w:tcPr>
          <w:p>
            <w:pPr>
              <w:jc w:val="center"/>
              <w:bidi/>
            </w:pPr>
            <w:r>
              <w:rPr>
                <w:rFonts w:ascii="Vazirmatn" w:hAnsi="Vazirmatn"/>
                <w:sz w:val="19"/>
              </w:rPr>
              <w:t>۲</w:t>
            </w:r>
          </w:p>
        </w:tc>
        <w:tc>
          <w:tcPr>
            <w:tcW w:type="dxa" w:w="4032"/>
            <w:shd w:fill="FFFFFF"/>
          </w:tcPr>
          <w:p>
            <w:pPr>
              <w:jc w:val="right"/>
              <w:bidi/>
            </w:pPr>
            <w:r>
              <w:rPr>
                <w:rFonts w:ascii="Vazirmatn" w:hAnsi="Vazirmatn"/>
                <w:b/>
                <w:sz w:val="19"/>
              </w:rPr>
              <w:t>تجهیزات، ادوات فنی و زیرساخت بازی‌وارسازی</w:t>
            </w:r>
          </w:p>
          <w:p>
            <w:pPr>
              <w:jc w:val="right"/>
              <w:bidi/>
            </w:pPr>
            <w:r>
              <w:rPr>
                <w:rFonts w:ascii="Vazirmatn" w:hAnsi="Vazirmatn"/>
                <w:color w:val="64748B"/>
                <w:sz w:val="17"/>
              </w:rPr>
              <w:t>به عنوان مثال: سازه فرش تعاملی ملل، پازل‌های چوبی معطر، ادوات کارگاه‌های کهن، نور و صوت حسی</w:t>
            </w:r>
          </w:p>
        </w:tc>
        <w:tc>
          <w:tcPr>
            <w:tcW w:type="dxa" w:w="1584"/>
            <w:shd w:fill="FFFFFF"/>
          </w:tcPr>
          <w:p>
            <w:pPr>
              <w:jc w:val="center"/>
              <w:bidi/>
            </w:pPr>
            <w:r>
              <w:rPr>
                <w:rFonts w:ascii="Vazirmatn" w:hAnsi="Vazirmatn"/>
                <w:sz w:val="18"/>
              </w:rPr>
              <w:t>به ازای هر رویداد</w:t>
            </w:r>
          </w:p>
        </w:tc>
        <w:tc>
          <w:tcPr>
            <w:tcW w:type="dxa" w:w="1152"/>
            <w:shd w:fill="FFFFFF"/>
          </w:tcPr>
          <w:p>
            <w:pPr>
              <w:jc w:val="center"/>
              <w:bidi/>
            </w:pPr>
            <w:r>
              <w:rPr>
                <w:rFonts w:ascii="Vazirmatn" w:hAnsi="Vazirmatn"/>
                <w:sz w:val="18"/>
              </w:rPr>
              <w:t>۷ برنامه</w:t>
            </w:r>
          </w:p>
        </w:tc>
        <w:tc>
          <w:tcPr>
            <w:tcW w:type="dxa" w:w="1872"/>
            <w:shd w:fill="FFFFFF"/>
          </w:tcPr>
          <w:p>
            <w:pPr>
              <w:jc w:val="center"/>
              <w:bidi/>
            </w:pPr>
            <w:r>
              <w:rPr>
                <w:rFonts w:ascii="Vazirmatn" w:hAnsi="Vazirmatn"/>
                <w:b/>
                <w:sz w:val="19"/>
              </w:rPr>
              <w:t>۶۰۰,۰۰۰,۰۰۰</w:t>
            </w:r>
          </w:p>
        </w:tc>
        <w:tc>
          <w:tcPr>
            <w:tcW w:type="dxa" w:w="2160"/>
            <w:shd w:fill="FFFFFF"/>
          </w:tcPr>
          <w:p>
            <w:pPr>
              <w:jc w:val="center"/>
              <w:bidi/>
            </w:pPr>
            <w:r>
              <w:rPr>
                <w:rFonts w:ascii="Vazirmatn" w:hAnsi="Vazirmatn"/>
                <w:b/>
                <w:color w:val="8B1E2B"/>
                <w:sz w:val="20"/>
              </w:rPr>
              <w:t>۴,۲۰۰,۰۰۰,۰۰۰</w:t>
            </w:r>
          </w:p>
        </w:tc>
      </w:tr>
      <w:tr>
        <w:tc>
          <w:tcPr>
            <w:tcW w:type="dxa" w:w="720"/>
            <w:shd w:fill="F8FAFC"/>
          </w:tcPr>
          <w:p>
            <w:pPr>
              <w:jc w:val="center"/>
              <w:bidi/>
            </w:pPr>
            <w:r>
              <w:rPr>
                <w:rFonts w:ascii="Vazirmatn" w:hAnsi="Vazirmatn"/>
                <w:sz w:val="19"/>
              </w:rPr>
              <w:t>۳</w:t>
            </w:r>
          </w:p>
        </w:tc>
        <w:tc>
          <w:tcPr>
            <w:tcW w:type="dxa" w:w="4032"/>
            <w:shd w:fill="F8FAFC"/>
          </w:tcPr>
          <w:p>
            <w:pPr>
              <w:jc w:val="right"/>
              <w:bidi/>
            </w:pPr>
            <w:r>
              <w:rPr>
                <w:rFonts w:ascii="Vazirmatn" w:hAnsi="Vazirmatn"/>
                <w:b/>
                <w:sz w:val="19"/>
              </w:rPr>
              <w:t>دکور، سن‌وگرافی و فضاسازی محیطی (۳ فضا)</w:t>
            </w:r>
          </w:p>
          <w:p>
            <w:pPr>
              <w:jc w:val="right"/>
              <w:bidi/>
            </w:pPr>
            <w:r>
              <w:rPr>
                <w:rFonts w:ascii="Vazirmatn" w:hAnsi="Vazirmatn"/>
                <w:color w:val="64748B"/>
                <w:sz w:val="17"/>
              </w:rPr>
              <w:t>پوشش ۳ محیط: ۱. سالن آمفی‌تئاتر / ۲. فضای بازی‌وارسازی / ۳. لابی و پذیرایی دیپلماتیک</w:t>
            </w:r>
          </w:p>
        </w:tc>
        <w:tc>
          <w:tcPr>
            <w:tcW w:type="dxa" w:w="1584"/>
            <w:shd w:fill="F8FAFC"/>
          </w:tcPr>
          <w:p>
            <w:pPr>
              <w:jc w:val="center"/>
              <w:bidi/>
            </w:pPr>
            <w:r>
              <w:rPr>
                <w:rFonts w:ascii="Vazirmatn" w:hAnsi="Vazirmatn"/>
                <w:sz w:val="18"/>
              </w:rPr>
              <w:t>مقطوع کل دوره</w:t>
            </w:r>
          </w:p>
        </w:tc>
        <w:tc>
          <w:tcPr>
            <w:tcW w:type="dxa" w:w="1152"/>
            <w:shd w:fill="F8FAFC"/>
          </w:tcPr>
          <w:p>
            <w:pPr>
              <w:jc w:val="center"/>
              <w:bidi/>
            </w:pPr>
            <w:r>
              <w:rPr>
                <w:rFonts w:ascii="Vazirmatn" w:hAnsi="Vazirmatn"/>
                <w:sz w:val="18"/>
              </w:rPr>
              <w:t>۷ برنامه</w:t>
            </w:r>
          </w:p>
        </w:tc>
        <w:tc>
          <w:tcPr>
            <w:tcW w:type="dxa" w:w="1872"/>
            <w:shd w:fill="F8FAFC"/>
          </w:tcPr>
          <w:p>
            <w:pPr>
              <w:jc w:val="center"/>
              <w:bidi/>
            </w:pPr>
            <w:r>
              <w:rPr>
                <w:rFonts w:ascii="Vazirmatn" w:hAnsi="Vazirmatn"/>
                <w:b/>
                <w:sz w:val="19"/>
              </w:rPr>
              <w:t>۳,۵۰۰,۰۰۰,۰۰۰</w:t>
            </w:r>
          </w:p>
        </w:tc>
        <w:tc>
          <w:tcPr>
            <w:tcW w:type="dxa" w:w="2160"/>
            <w:shd w:fill="F8FAFC"/>
          </w:tcPr>
          <w:p>
            <w:pPr>
              <w:jc w:val="center"/>
              <w:bidi/>
            </w:pPr>
            <w:r>
              <w:rPr>
                <w:rFonts w:ascii="Vazirmatn" w:hAnsi="Vazirmatn"/>
                <w:b/>
                <w:color w:val="8B1E2B"/>
                <w:sz w:val="20"/>
              </w:rPr>
              <w:t>۳,۵۰۰,۰۰۰,۰۰۰</w:t>
            </w:r>
          </w:p>
        </w:tc>
      </w:tr>
      <w:tr>
        <w:tc>
          <w:tcPr>
            <w:tcW w:type="dxa" w:w="720"/>
            <w:shd w:fill="FEF9C3"/>
          </w:tcPr>
          <w:p>
            <w:pPr>
              <w:jc w:val="right"/>
              <w:bidi/>
            </w:pPr>
          </w:p>
        </w:tc>
        <w:tc>
          <w:tcPr>
            <w:tcW w:type="dxa" w:w="4032"/>
            <w:shd w:fill="FEF9C3"/>
          </w:tcPr>
          <w:p>
            <w:pPr>
              <w:jc w:val="right"/>
              <w:bidi/>
            </w:pPr>
            <w:r>
              <w:rPr>
                <w:rFonts w:ascii="Vazirmatn" w:hAnsi="Vazirmatn"/>
                <w:b/>
                <w:sz w:val="19"/>
              </w:rPr>
              <w:t>مجموع کل برآورد مالی سلسله‌رویداد (۷ ماهه)</w:t>
            </w:r>
          </w:p>
        </w:tc>
        <w:tc>
          <w:tcPr>
            <w:tcW w:type="dxa" w:w="1584"/>
            <w:shd w:fill="FEF9C3"/>
          </w:tcPr>
          <w:p>
            <w:pPr>
              <w:jc w:val="right"/>
              <w:bidi/>
            </w:pPr>
          </w:p>
        </w:tc>
        <w:tc>
          <w:tcPr>
            <w:tcW w:type="dxa" w:w="1152"/>
            <w:shd w:fill="FEF9C3"/>
          </w:tcPr>
          <w:p>
            <w:pPr>
              <w:jc w:val="right"/>
              <w:bidi/>
            </w:pPr>
          </w:p>
        </w:tc>
        <w:tc>
          <w:tcPr>
            <w:tcW w:type="dxa" w:w="1872"/>
            <w:shd w:fill="FEF9C3"/>
          </w:tcPr>
          <w:p>
            <w:pPr>
              <w:jc w:val="right"/>
              <w:bidi/>
            </w:pPr>
          </w:p>
        </w:tc>
        <w:tc>
          <w:tcPr>
            <w:tcW w:type="dxa" w:w="2160"/>
            <w:shd w:fill="FEF9C3"/>
          </w:tcPr>
          <w:p>
            <w:pPr>
              <w:jc w:val="center"/>
              <w:bidi/>
            </w:pPr>
            <w:r>
              <w:rPr>
                <w:rFonts w:ascii="Vazirmatn" w:hAnsi="Vazirmatn"/>
                <w:b/>
                <w:color w:val="8B1E2B"/>
                <w:sz w:val="20"/>
              </w:rPr>
              <w:t>۹,۱۰۰,۰۰۰,۰۰۰ تومان</w:t>
            </w:r>
          </w:p>
        </w:tc>
      </w:tr>
    </w:tbl>
    <w:p/>
    <w:p>
      <w:pPr>
        <w:jc w:val="right"/>
        <w:bidi/>
      </w:pPr>
      <w:r>
        <w:rPr>
          <w:rFonts w:ascii="Vazirmatn" w:hAnsi="Vazirmatn"/>
          <w:b/>
          <w:sz w:val="19"/>
        </w:rPr>
        <w:t>ملاحظات و تعهدات اجرایی قرارداد:</w:t>
      </w:r>
    </w:p>
    <w:p>
      <w:pPr>
        <w:jc w:val="right"/>
        <w:bidi/>
      </w:pPr>
      <w:r>
        <w:rPr>
          <w:rFonts w:ascii="Vazirmatn" w:hAnsi="Vazirmatn"/>
          <w:color w:val="475569"/>
          <w:sz w:val="17"/>
        </w:rPr>
        <w:t>• هزینه‌های تأمین سالن، برق و رایت اکران فیلم‌ها بر عهده شهرداری تهران و سازمان سوره بوده و در این پیش‌فاکتور صفر است.</w:t>
      </w:r>
    </w:p>
    <w:p>
      <w:pPr>
        <w:jc w:val="right"/>
        <w:bidi/>
      </w:pPr>
      <w:r>
        <w:rPr>
          <w:rFonts w:ascii="Vazirmatn" w:hAnsi="Vazirmatn"/>
          <w:color w:val="475569"/>
          <w:sz w:val="17"/>
        </w:rPr>
        <w:t>• کلیه موارد ذکرشده در شرح خدمات صرفاً به عنوان مثال اجرایی بوده و اقلام قطعی بر اساس سناریوی مصوب نهایی پیاده‌سازی می‌گردد.</w:t>
      </w:r>
    </w:p>
    <w:p>
      <w:pPr>
        <w:jc w:val="right"/>
        <w:bidi/>
      </w:pPr>
      <w:r>
        <w:rPr>
          <w:rFonts w:ascii="Vazirmatn" w:hAnsi="Vazirmatn"/>
          <w:color w:val="475569"/>
          <w:sz w:val="17"/>
        </w:rPr>
        <w:t>• سازه دار قالی ملل پس از پایان دوره به عنوان اثر ماندگار یادبود به کارفرمای محترم تحویل داده می‌شود.</w:t>
      </w:r>
    </w:p>
    <w:p>
      <w:pPr>
        <w:jc w:val="right"/>
        <w:bidi/>
      </w:pPr>
      <w:r>
        <w:rPr>
          <w:rFonts w:ascii="Vazirmatn" w:hAnsi="Vazirmatn"/>
          <w:color w:val="475569"/>
          <w:sz w:val="17"/>
        </w:rPr>
        <w:t>• مبالغ مندرج بر مبنای مشخصات فعلی برآورد شده و در صورت درخواست کارفرما مبنی بر تغییر مقیاس، متناسباً بازبینی خواهد شد.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5040"/>
            <w:shd w:fill="FFFFFF"/>
          </w:tcPr>
          <w:p>
            <w:pPr>
              <w:jc w:val="center"/>
              <w:bidi/>
            </w:pPr>
            <w:r>
              <w:rPr>
                <w:rFonts w:ascii="Vazirmatn" w:hAnsi="Vazirmatn"/>
                <w:sz w:val="18"/>
              </w:rPr>
              <w:t>تأییدکننده کارفرما:</w:t>
              <w:br/>
              <w:t>سازمان سینمایی سوره / شهرداری تهران</w:t>
            </w:r>
          </w:p>
        </w:tc>
        <w:tc>
          <w:tcPr>
            <w:tcW w:type="dxa" w:w="5040"/>
            <w:shd w:fill="FFFFFF"/>
          </w:tcPr>
          <w:p>
            <w:pPr>
              <w:jc w:val="center"/>
              <w:bidi/>
            </w:pPr>
            <w:r>
              <w:rPr>
                <w:rFonts w:ascii="Vazirmatn" w:hAnsi="Vazirmatn"/>
                <w:b/>
                <w:color w:val="D4AF37"/>
                <w:sz w:val="19"/>
              </w:rPr>
              <w:t>مجری و مشاور بازی‌وارسازی و دیزاین:</w:t>
              <w:br/>
              <w:t>گروه خلاقیت تیله</w:t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